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F29" w:rsidRPr="00630F29" w:rsidRDefault="00630F29" w:rsidP="00630F29">
      <w:pPr>
        <w:spacing w:line="480" w:lineRule="auto"/>
        <w:rPr>
          <w:rFonts w:ascii="Times New Roman" w:hAnsi="Times New Roman" w:cs="Times New Roman"/>
          <w:sz w:val="24"/>
          <w:szCs w:val="24"/>
        </w:rPr>
      </w:pPr>
    </w:p>
    <w:p w:rsidR="00630F29" w:rsidRPr="00630F29" w:rsidRDefault="00630F29" w:rsidP="00630F29">
      <w:pPr>
        <w:spacing w:line="480" w:lineRule="auto"/>
        <w:rPr>
          <w:rFonts w:ascii="Times New Roman" w:hAnsi="Times New Roman" w:cs="Times New Roman"/>
          <w:sz w:val="24"/>
          <w:szCs w:val="24"/>
        </w:rPr>
      </w:pPr>
    </w:p>
    <w:p w:rsidR="00630F29" w:rsidRPr="00630F29" w:rsidRDefault="00630F29" w:rsidP="00630F29">
      <w:pPr>
        <w:spacing w:line="480" w:lineRule="auto"/>
        <w:rPr>
          <w:rFonts w:ascii="Times New Roman" w:hAnsi="Times New Roman" w:cs="Times New Roman"/>
          <w:sz w:val="24"/>
          <w:szCs w:val="24"/>
        </w:rPr>
      </w:pPr>
    </w:p>
    <w:p w:rsidR="00630F29" w:rsidRPr="00630F29" w:rsidRDefault="00630F29" w:rsidP="00630F29">
      <w:pPr>
        <w:spacing w:line="480" w:lineRule="auto"/>
        <w:rPr>
          <w:rFonts w:ascii="Times New Roman" w:hAnsi="Times New Roman" w:cs="Times New Roman"/>
          <w:sz w:val="24"/>
          <w:szCs w:val="24"/>
        </w:rPr>
      </w:pPr>
    </w:p>
    <w:p w:rsidR="00630F29" w:rsidRPr="00630F29" w:rsidRDefault="00630F29" w:rsidP="00630F29">
      <w:pPr>
        <w:spacing w:line="480" w:lineRule="auto"/>
        <w:rPr>
          <w:rFonts w:ascii="Times New Roman" w:hAnsi="Times New Roman" w:cs="Times New Roman"/>
          <w:sz w:val="24"/>
          <w:szCs w:val="24"/>
        </w:rPr>
      </w:pPr>
    </w:p>
    <w:p w:rsidR="00630F29" w:rsidRPr="00630F29" w:rsidRDefault="00630F29" w:rsidP="00630F29">
      <w:pPr>
        <w:spacing w:line="480" w:lineRule="auto"/>
        <w:rPr>
          <w:rFonts w:ascii="Times New Roman" w:hAnsi="Times New Roman" w:cs="Times New Roman"/>
          <w:sz w:val="24"/>
          <w:szCs w:val="24"/>
        </w:rPr>
      </w:pPr>
    </w:p>
    <w:p w:rsidR="00630F29" w:rsidRPr="00630F29" w:rsidRDefault="00630F29" w:rsidP="00630F29">
      <w:pPr>
        <w:spacing w:line="480" w:lineRule="auto"/>
        <w:rPr>
          <w:rFonts w:ascii="Times New Roman" w:hAnsi="Times New Roman" w:cs="Times New Roman"/>
          <w:sz w:val="24"/>
          <w:szCs w:val="24"/>
        </w:rPr>
      </w:pPr>
    </w:p>
    <w:p w:rsidR="00630F29" w:rsidRPr="00630F29" w:rsidRDefault="00630F29" w:rsidP="00630F29">
      <w:pPr>
        <w:spacing w:line="480" w:lineRule="auto"/>
        <w:rPr>
          <w:rFonts w:ascii="Times New Roman" w:hAnsi="Times New Roman" w:cs="Times New Roman"/>
          <w:sz w:val="24"/>
          <w:szCs w:val="24"/>
        </w:rPr>
      </w:pPr>
    </w:p>
    <w:p w:rsidR="00630F29" w:rsidRPr="00630F29" w:rsidRDefault="00630F29" w:rsidP="00630F29">
      <w:pPr>
        <w:spacing w:line="480" w:lineRule="auto"/>
        <w:rPr>
          <w:rFonts w:ascii="Times New Roman" w:hAnsi="Times New Roman" w:cs="Times New Roman"/>
          <w:sz w:val="24"/>
          <w:szCs w:val="24"/>
        </w:rPr>
      </w:pPr>
    </w:p>
    <w:p w:rsidR="00630F29" w:rsidRPr="00630F29" w:rsidRDefault="00630F29" w:rsidP="00630F29">
      <w:pPr>
        <w:spacing w:line="480" w:lineRule="auto"/>
        <w:jc w:val="center"/>
        <w:rPr>
          <w:rFonts w:ascii="Times New Roman" w:hAnsi="Times New Roman" w:cs="Times New Roman"/>
          <w:sz w:val="24"/>
          <w:szCs w:val="24"/>
        </w:rPr>
      </w:pPr>
    </w:p>
    <w:p w:rsidR="00630F29" w:rsidRPr="00630F29" w:rsidRDefault="00630F29" w:rsidP="00630F29">
      <w:pPr>
        <w:spacing w:line="480" w:lineRule="auto"/>
        <w:jc w:val="center"/>
        <w:rPr>
          <w:rFonts w:ascii="Times New Roman" w:hAnsi="Times New Roman" w:cs="Times New Roman"/>
          <w:sz w:val="24"/>
          <w:szCs w:val="24"/>
        </w:rPr>
      </w:pPr>
      <w:r w:rsidRPr="00630F29">
        <w:rPr>
          <w:rFonts w:ascii="Times New Roman" w:hAnsi="Times New Roman" w:cs="Times New Roman"/>
          <w:sz w:val="24"/>
          <w:szCs w:val="24"/>
        </w:rPr>
        <w:t>Civil and Criminal Law.</w:t>
      </w:r>
    </w:p>
    <w:p w:rsidR="00630F29" w:rsidRPr="00630F29" w:rsidRDefault="00630F29" w:rsidP="00630F29">
      <w:pPr>
        <w:spacing w:line="480" w:lineRule="auto"/>
        <w:jc w:val="center"/>
        <w:rPr>
          <w:rFonts w:ascii="Times New Roman" w:hAnsi="Times New Roman" w:cs="Times New Roman"/>
          <w:sz w:val="24"/>
          <w:szCs w:val="24"/>
        </w:rPr>
      </w:pPr>
      <w:r w:rsidRPr="00630F29">
        <w:rPr>
          <w:rFonts w:ascii="Times New Roman" w:hAnsi="Times New Roman" w:cs="Times New Roman"/>
          <w:sz w:val="24"/>
          <w:szCs w:val="24"/>
        </w:rPr>
        <w:t>Name.</w:t>
      </w:r>
    </w:p>
    <w:p w:rsidR="00630F29" w:rsidRPr="00630F29" w:rsidRDefault="00630F29" w:rsidP="00630F29">
      <w:pPr>
        <w:spacing w:line="480" w:lineRule="auto"/>
        <w:jc w:val="center"/>
        <w:rPr>
          <w:rFonts w:ascii="Times New Roman" w:hAnsi="Times New Roman" w:cs="Times New Roman"/>
          <w:sz w:val="24"/>
          <w:szCs w:val="24"/>
        </w:rPr>
      </w:pPr>
      <w:r w:rsidRPr="00630F29">
        <w:rPr>
          <w:rFonts w:ascii="Times New Roman" w:hAnsi="Times New Roman" w:cs="Times New Roman"/>
          <w:sz w:val="24"/>
          <w:szCs w:val="24"/>
        </w:rPr>
        <w:t>Institution.</w:t>
      </w:r>
    </w:p>
    <w:p w:rsidR="00630F29" w:rsidRPr="00630F29" w:rsidRDefault="00630F29" w:rsidP="00630F29">
      <w:pPr>
        <w:spacing w:line="480" w:lineRule="auto"/>
        <w:jc w:val="center"/>
        <w:rPr>
          <w:rFonts w:ascii="Times New Roman" w:hAnsi="Times New Roman" w:cs="Times New Roman"/>
          <w:sz w:val="24"/>
          <w:szCs w:val="24"/>
        </w:rPr>
      </w:pPr>
      <w:r w:rsidRPr="00630F29">
        <w:rPr>
          <w:rFonts w:ascii="Times New Roman" w:hAnsi="Times New Roman" w:cs="Times New Roman"/>
          <w:sz w:val="24"/>
          <w:szCs w:val="24"/>
        </w:rPr>
        <w:t>Date.</w:t>
      </w:r>
    </w:p>
    <w:p w:rsidR="00630F29" w:rsidRPr="00630F29" w:rsidRDefault="00630F29" w:rsidP="00630F29">
      <w:pPr>
        <w:spacing w:line="480" w:lineRule="auto"/>
        <w:rPr>
          <w:rFonts w:ascii="Times New Roman" w:hAnsi="Times New Roman" w:cs="Times New Roman"/>
          <w:sz w:val="24"/>
          <w:szCs w:val="24"/>
        </w:rPr>
      </w:pPr>
    </w:p>
    <w:p w:rsidR="00630F29" w:rsidRPr="00630F29" w:rsidRDefault="00630F29" w:rsidP="00630F29">
      <w:pPr>
        <w:spacing w:line="480" w:lineRule="auto"/>
        <w:rPr>
          <w:rFonts w:ascii="Times New Roman" w:hAnsi="Times New Roman" w:cs="Times New Roman"/>
          <w:sz w:val="24"/>
          <w:szCs w:val="24"/>
        </w:rPr>
      </w:pPr>
    </w:p>
    <w:p w:rsidR="00630F29" w:rsidRPr="00630F29" w:rsidRDefault="00630F29" w:rsidP="00630F29">
      <w:pPr>
        <w:spacing w:line="480" w:lineRule="auto"/>
        <w:rPr>
          <w:rFonts w:ascii="Times New Roman" w:hAnsi="Times New Roman" w:cs="Times New Roman"/>
          <w:sz w:val="24"/>
          <w:szCs w:val="24"/>
        </w:rPr>
      </w:pPr>
    </w:p>
    <w:p w:rsidR="00630F29" w:rsidRPr="00630F29" w:rsidRDefault="00630F29" w:rsidP="00630F29">
      <w:pPr>
        <w:spacing w:line="480" w:lineRule="auto"/>
        <w:rPr>
          <w:rFonts w:ascii="Times New Roman" w:hAnsi="Times New Roman" w:cs="Times New Roman"/>
          <w:sz w:val="24"/>
          <w:szCs w:val="24"/>
        </w:rPr>
      </w:pPr>
    </w:p>
    <w:p w:rsidR="00AC3080" w:rsidRPr="00630F29" w:rsidRDefault="00AC3080" w:rsidP="00630F29">
      <w:pPr>
        <w:spacing w:line="480" w:lineRule="auto"/>
        <w:jc w:val="center"/>
        <w:rPr>
          <w:rFonts w:ascii="Times New Roman" w:hAnsi="Times New Roman" w:cs="Times New Roman"/>
          <w:sz w:val="24"/>
          <w:szCs w:val="24"/>
        </w:rPr>
      </w:pPr>
      <w:r w:rsidRPr="00630F29">
        <w:rPr>
          <w:rFonts w:ascii="Times New Roman" w:hAnsi="Times New Roman" w:cs="Times New Roman"/>
          <w:b/>
          <w:sz w:val="24"/>
          <w:szCs w:val="24"/>
        </w:rPr>
        <w:lastRenderedPageBreak/>
        <w:t>Question 1.</w:t>
      </w:r>
    </w:p>
    <w:p w:rsidR="00AC3080" w:rsidRPr="00630F29" w:rsidRDefault="00AC3080" w:rsidP="00630F29">
      <w:pPr>
        <w:spacing w:line="480" w:lineRule="auto"/>
        <w:ind w:firstLine="720"/>
        <w:rPr>
          <w:rFonts w:ascii="Times New Roman" w:hAnsi="Times New Roman" w:cs="Times New Roman"/>
          <w:sz w:val="24"/>
          <w:szCs w:val="24"/>
        </w:rPr>
      </w:pPr>
      <w:r w:rsidRPr="00630F29">
        <w:rPr>
          <w:rFonts w:ascii="Times New Roman" w:hAnsi="Times New Roman" w:cs="Times New Roman"/>
          <w:sz w:val="24"/>
          <w:szCs w:val="24"/>
        </w:rPr>
        <w:t xml:space="preserve">I chose the movie </w:t>
      </w:r>
      <w:r w:rsidRPr="00630F29">
        <w:rPr>
          <w:rFonts w:ascii="Times New Roman" w:hAnsi="Times New Roman" w:cs="Times New Roman"/>
          <w:i/>
          <w:sz w:val="24"/>
          <w:szCs w:val="24"/>
        </w:rPr>
        <w:t>My Cousin Vinny</w:t>
      </w:r>
      <w:r w:rsidRPr="00630F29">
        <w:rPr>
          <w:rFonts w:ascii="Times New Roman" w:hAnsi="Times New Roman" w:cs="Times New Roman"/>
          <w:sz w:val="24"/>
          <w:szCs w:val="24"/>
        </w:rPr>
        <w:t xml:space="preserve">. It is a movie whose flow </w:t>
      </w:r>
      <w:r w:rsidR="00630F29" w:rsidRPr="00630F29">
        <w:rPr>
          <w:rFonts w:ascii="Times New Roman" w:hAnsi="Times New Roman" w:cs="Times New Roman"/>
          <w:sz w:val="24"/>
          <w:szCs w:val="24"/>
        </w:rPr>
        <w:t xml:space="preserve">can be </w:t>
      </w:r>
      <w:r w:rsidRPr="00630F29">
        <w:rPr>
          <w:rFonts w:ascii="Times New Roman" w:hAnsi="Times New Roman" w:cs="Times New Roman"/>
          <w:sz w:val="24"/>
          <w:szCs w:val="24"/>
        </w:rPr>
        <w:t xml:space="preserve">closely compared to the reality in the civil and criminal law. It borrows some elements of criminal justice; particularly civil and criminal justice as a whole. The movie observes the main actors such as pretrial stages, significant actors in the court processes as well as the criminal trials. The action is based on Bill and Stanley; who is arrested and falsely accused of murder in Alabama. Bills cousin Vinny then intervenes the prosecution. In the movie, judge paid attention to the prosecutor's witnesses and concluded that there was sufficient credible cause to continue with the case (Vinny, 2013). Moreover, many judges appear to be so committed investigating facts concerning the case before making apparent cause determination as stated in the text. This reflects the civil law by the real criminal justice investigations. The action reflects criminal law through the arrest, booking, bail, prosecution and preliminary trials among other important actors in the court process. From the above facts, it is true that the movie is based on civil and criminal law ideas. </w:t>
      </w:r>
    </w:p>
    <w:p w:rsidR="00AC3080" w:rsidRPr="00630F29" w:rsidRDefault="00AC3080" w:rsidP="00630F29">
      <w:pPr>
        <w:spacing w:line="480" w:lineRule="auto"/>
        <w:ind w:firstLine="720"/>
        <w:rPr>
          <w:rFonts w:ascii="Times New Roman" w:hAnsi="Times New Roman" w:cs="Times New Roman"/>
          <w:sz w:val="24"/>
          <w:szCs w:val="24"/>
        </w:rPr>
      </w:pPr>
      <w:r w:rsidRPr="00630F29">
        <w:rPr>
          <w:rFonts w:ascii="Times New Roman" w:hAnsi="Times New Roman" w:cs="Times New Roman"/>
          <w:sz w:val="24"/>
          <w:szCs w:val="24"/>
        </w:rPr>
        <w:t>From this action, I learned that it is not good to have overconfidence. For instance, Vinny entered the case with due confidence that he was to win it. This was not the case until when he fully realized the gravity of his situation. It is good for prosecutors to have a good dose of self-confidence to grasp the reality of the situation.</w:t>
      </w:r>
    </w:p>
    <w:p w:rsidR="00AC3080" w:rsidRPr="00630F29" w:rsidRDefault="00AC3080" w:rsidP="00630F29">
      <w:pPr>
        <w:spacing w:line="480" w:lineRule="auto"/>
        <w:jc w:val="center"/>
        <w:rPr>
          <w:rFonts w:ascii="Times New Roman" w:hAnsi="Times New Roman" w:cs="Times New Roman"/>
          <w:b/>
          <w:sz w:val="24"/>
          <w:szCs w:val="24"/>
        </w:rPr>
      </w:pPr>
      <w:r w:rsidRPr="00630F29">
        <w:rPr>
          <w:rFonts w:ascii="Times New Roman" w:hAnsi="Times New Roman" w:cs="Times New Roman"/>
          <w:b/>
          <w:sz w:val="24"/>
          <w:szCs w:val="24"/>
        </w:rPr>
        <w:t>Question 2.</w:t>
      </w:r>
    </w:p>
    <w:p w:rsidR="00AC3080" w:rsidRPr="00630F29" w:rsidRDefault="00AC3080" w:rsidP="00630F29">
      <w:pPr>
        <w:spacing w:line="480" w:lineRule="auto"/>
        <w:ind w:firstLine="720"/>
        <w:rPr>
          <w:rFonts w:ascii="Times New Roman" w:hAnsi="Times New Roman" w:cs="Times New Roman"/>
          <w:sz w:val="24"/>
          <w:szCs w:val="24"/>
        </w:rPr>
      </w:pPr>
      <w:r w:rsidRPr="00630F29">
        <w:rPr>
          <w:rFonts w:ascii="Times New Roman" w:hAnsi="Times New Roman" w:cs="Times New Roman"/>
          <w:sz w:val="24"/>
          <w:szCs w:val="24"/>
        </w:rPr>
        <w:t xml:space="preserve">Mrs. Stella Liebeck was not driving when her coffee spilled. She was just </w:t>
      </w:r>
      <w:r w:rsidR="00630F29" w:rsidRPr="00630F29">
        <w:rPr>
          <w:rFonts w:ascii="Times New Roman" w:hAnsi="Times New Roman" w:cs="Times New Roman"/>
          <w:sz w:val="24"/>
          <w:szCs w:val="24"/>
        </w:rPr>
        <w:t xml:space="preserve">seated as </w:t>
      </w:r>
      <w:r w:rsidRPr="00630F29">
        <w:rPr>
          <w:rFonts w:ascii="Times New Roman" w:hAnsi="Times New Roman" w:cs="Times New Roman"/>
          <w:sz w:val="24"/>
          <w:szCs w:val="24"/>
        </w:rPr>
        <w:t>a passenger in her grandson’s car which was stationary in the parking portion of McDonald’s where she bought the coffee. Stella had placed the c</w:t>
      </w:r>
      <w:r w:rsidR="00630F29" w:rsidRPr="00630F29">
        <w:rPr>
          <w:rFonts w:ascii="Times New Roman" w:hAnsi="Times New Roman" w:cs="Times New Roman"/>
          <w:sz w:val="24"/>
          <w:szCs w:val="24"/>
        </w:rPr>
        <w:t>up of coffees between her knees. She was</w:t>
      </w:r>
      <w:r w:rsidR="00D43078">
        <w:rPr>
          <w:rFonts w:ascii="Times New Roman" w:hAnsi="Times New Roman" w:cs="Times New Roman"/>
          <w:sz w:val="24"/>
          <w:szCs w:val="24"/>
        </w:rPr>
        <w:t xml:space="preserve"> </w:t>
      </w:r>
      <w:r w:rsidRPr="00630F29">
        <w:rPr>
          <w:rFonts w:ascii="Times New Roman" w:hAnsi="Times New Roman" w:cs="Times New Roman"/>
          <w:sz w:val="24"/>
          <w:szCs w:val="24"/>
        </w:rPr>
        <w:lastRenderedPageBreak/>
        <w:t>removing the lid to add sugar and cream when the cup rolled over and spilled the entire contents on her lap.</w:t>
      </w:r>
    </w:p>
    <w:p w:rsidR="00AC3080" w:rsidRPr="00630F29" w:rsidRDefault="00AC3080" w:rsidP="00630F29">
      <w:pPr>
        <w:spacing w:line="480" w:lineRule="auto"/>
        <w:ind w:firstLine="720"/>
        <w:rPr>
          <w:rFonts w:ascii="Times New Roman" w:hAnsi="Times New Roman" w:cs="Times New Roman"/>
          <w:sz w:val="24"/>
          <w:szCs w:val="24"/>
        </w:rPr>
      </w:pPr>
      <w:r w:rsidRPr="00630F29">
        <w:rPr>
          <w:rFonts w:ascii="Times New Roman" w:hAnsi="Times New Roman" w:cs="Times New Roman"/>
          <w:sz w:val="24"/>
          <w:szCs w:val="24"/>
        </w:rPr>
        <w:t>The coffees were absorbed by the sweatpants that Mrs. Liebeck had dressed on and held next to her skin. After an investigation, vascular surgeon determined that Liebeck had suffered full thickness bu</w:t>
      </w:r>
      <w:r w:rsidR="00630F29" w:rsidRPr="00630F29">
        <w:rPr>
          <w:rFonts w:ascii="Times New Roman" w:hAnsi="Times New Roman" w:cs="Times New Roman"/>
          <w:sz w:val="24"/>
          <w:szCs w:val="24"/>
        </w:rPr>
        <w:t>rn</w:t>
      </w:r>
      <w:r w:rsidRPr="00630F29">
        <w:rPr>
          <w:rFonts w:ascii="Times New Roman" w:hAnsi="Times New Roman" w:cs="Times New Roman"/>
          <w:sz w:val="24"/>
          <w:szCs w:val="24"/>
        </w:rPr>
        <w:t>s (Greene, 2015). This had affected over 5% of her total body including buttocks, perineum, inner thighs, and groins and genital areas. She was admitted for eight days when she underwent skin grafting. She also underwent debridement treatments to settle her claims although McDonald's declined.</w:t>
      </w:r>
    </w:p>
    <w:p w:rsidR="00AC3080" w:rsidRPr="00630F29" w:rsidRDefault="00AC3080" w:rsidP="00630F29">
      <w:pPr>
        <w:spacing w:line="480" w:lineRule="auto"/>
        <w:ind w:firstLine="720"/>
        <w:rPr>
          <w:rFonts w:ascii="Times New Roman" w:hAnsi="Times New Roman" w:cs="Times New Roman"/>
          <w:sz w:val="24"/>
          <w:szCs w:val="24"/>
        </w:rPr>
      </w:pPr>
      <w:r w:rsidRPr="00630F29">
        <w:rPr>
          <w:rFonts w:ascii="Times New Roman" w:hAnsi="Times New Roman" w:cs="Times New Roman"/>
          <w:sz w:val="24"/>
          <w:szCs w:val="24"/>
        </w:rPr>
        <w:t xml:space="preserve">During discovery, McDonald's provided documents displaying more than 600 statements by people burned by coffee for the period between 1982 and 1992. Some claims included third-degree burns which were substantially similar to Stella’s’ case. This story documented McDonalds’ knowhow about the nature and extent of his disasters. </w:t>
      </w:r>
    </w:p>
    <w:p w:rsidR="00AC3080" w:rsidRPr="00630F29" w:rsidRDefault="00AC3080" w:rsidP="00630F29">
      <w:pPr>
        <w:spacing w:line="480" w:lineRule="auto"/>
        <w:ind w:firstLine="720"/>
        <w:rPr>
          <w:rFonts w:ascii="Times New Roman" w:hAnsi="Times New Roman" w:cs="Times New Roman"/>
          <w:sz w:val="24"/>
          <w:szCs w:val="24"/>
        </w:rPr>
      </w:pPr>
      <w:r w:rsidRPr="00630F29">
        <w:rPr>
          <w:rFonts w:ascii="Times New Roman" w:hAnsi="Times New Roman" w:cs="Times New Roman"/>
          <w:sz w:val="24"/>
          <w:szCs w:val="24"/>
        </w:rPr>
        <w:t>McDonald’s quality assurance officers revealed that the firm actively enforces a requirement that coffee was averaging to 185 degrees or above. According to him, the legal requirement for any food substance to be served it should have 140 degrees. At the temperature of 180 degrees, the food substance was no longer good for consumption. The quality assurance director agreed that burns would occur and testified that McDonald's was not ready to reduce the holding temperatures.</w:t>
      </w:r>
    </w:p>
    <w:p w:rsidR="00AC3080" w:rsidRPr="00630F29" w:rsidRDefault="00AC3080" w:rsidP="00630F29">
      <w:pPr>
        <w:spacing w:line="480" w:lineRule="auto"/>
        <w:ind w:firstLine="720"/>
        <w:rPr>
          <w:rFonts w:ascii="Times New Roman" w:hAnsi="Times New Roman" w:cs="Times New Roman"/>
          <w:sz w:val="24"/>
          <w:szCs w:val="24"/>
        </w:rPr>
      </w:pPr>
      <w:r w:rsidRPr="00630F29">
        <w:rPr>
          <w:rFonts w:ascii="Times New Roman" w:hAnsi="Times New Roman" w:cs="Times New Roman"/>
          <w:sz w:val="24"/>
          <w:szCs w:val="24"/>
        </w:rPr>
        <w:t xml:space="preserve">McDonald's proclaimed that customers knew that coffee is hot, but they wanted it that way.  The company agreed that customers were not aware that they could suffer from third-degree burns from the coffee and that a claim on this side of the cup was just a reminder because </w:t>
      </w:r>
      <w:r w:rsidR="00D43078">
        <w:rPr>
          <w:rFonts w:ascii="Times New Roman" w:hAnsi="Times New Roman" w:cs="Times New Roman"/>
          <w:sz w:val="24"/>
          <w:szCs w:val="24"/>
        </w:rPr>
        <w:t>the location of writing would no</w:t>
      </w:r>
      <w:r w:rsidRPr="00630F29">
        <w:rPr>
          <w:rFonts w:ascii="Times New Roman" w:hAnsi="Times New Roman" w:cs="Times New Roman"/>
          <w:sz w:val="24"/>
          <w:szCs w:val="24"/>
        </w:rPr>
        <w:t xml:space="preserve">t suitably warn customers. </w:t>
      </w:r>
    </w:p>
    <w:p w:rsidR="00630F29" w:rsidRPr="00630F29" w:rsidRDefault="00AC3080" w:rsidP="00630F29">
      <w:pPr>
        <w:spacing w:line="480" w:lineRule="auto"/>
        <w:ind w:firstLine="720"/>
        <w:rPr>
          <w:rFonts w:ascii="Times New Roman" w:hAnsi="Times New Roman" w:cs="Times New Roman"/>
          <w:b/>
          <w:sz w:val="24"/>
          <w:szCs w:val="24"/>
        </w:rPr>
      </w:pPr>
      <w:r w:rsidRPr="00630F29">
        <w:rPr>
          <w:rFonts w:ascii="Times New Roman" w:hAnsi="Times New Roman" w:cs="Times New Roman"/>
          <w:sz w:val="24"/>
          <w:szCs w:val="24"/>
        </w:rPr>
        <w:lastRenderedPageBreak/>
        <w:t>The judges awarded Liebeck $200000 in payment for damages as a solution for the matter. The payment was reduced to $160000 because the judge realized that 20% of the injury was as a result of the spill. Liebeck was awarded $2.7millions for punitive damages which is more than two days of McDonalds’ coffee sales. After verdict investigation, it was found that the temperatures of McDonald</w:t>
      </w:r>
      <w:r w:rsidR="00630F29" w:rsidRPr="00630F29">
        <w:rPr>
          <w:rFonts w:ascii="Times New Roman" w:hAnsi="Times New Roman" w:cs="Times New Roman"/>
          <w:sz w:val="24"/>
          <w:szCs w:val="24"/>
        </w:rPr>
        <w:t>'s’ had dropped to 158 degrees.</w:t>
      </w:r>
    </w:p>
    <w:p w:rsidR="00AC3080" w:rsidRPr="00630F29" w:rsidRDefault="00AC3080" w:rsidP="00630F29">
      <w:pPr>
        <w:spacing w:line="480" w:lineRule="auto"/>
        <w:jc w:val="center"/>
        <w:rPr>
          <w:rFonts w:ascii="Times New Roman" w:hAnsi="Times New Roman" w:cs="Times New Roman"/>
          <w:b/>
          <w:sz w:val="24"/>
          <w:szCs w:val="24"/>
        </w:rPr>
      </w:pPr>
      <w:r w:rsidRPr="00630F29">
        <w:rPr>
          <w:rFonts w:ascii="Times New Roman" w:hAnsi="Times New Roman" w:cs="Times New Roman"/>
          <w:b/>
          <w:sz w:val="24"/>
          <w:szCs w:val="24"/>
        </w:rPr>
        <w:t>Question 3.</w:t>
      </w:r>
    </w:p>
    <w:p w:rsidR="00AC3080" w:rsidRPr="00630F29" w:rsidRDefault="00AC3080" w:rsidP="00630F29">
      <w:pPr>
        <w:spacing w:line="480" w:lineRule="auto"/>
        <w:ind w:firstLine="720"/>
        <w:rPr>
          <w:rFonts w:ascii="Times New Roman" w:hAnsi="Times New Roman" w:cs="Times New Roman"/>
          <w:sz w:val="24"/>
          <w:szCs w:val="24"/>
        </w:rPr>
      </w:pPr>
      <w:r w:rsidRPr="00630F29">
        <w:rPr>
          <w:rFonts w:ascii="Times New Roman" w:hAnsi="Times New Roman" w:cs="Times New Roman"/>
          <w:sz w:val="24"/>
          <w:szCs w:val="24"/>
        </w:rPr>
        <w:t>In 2015, the U.S courts in Equal Employment Opportunity Commission vs. Freedom appealed to the Fourth Circuit and affirmed summary ruling in the case that entailed a challenge to the employer’s use of criminal background and credited history checks while in the hiring process.</w:t>
      </w:r>
    </w:p>
    <w:p w:rsidR="00AC3080" w:rsidRPr="00630F29" w:rsidRDefault="00AC3080" w:rsidP="00630F29">
      <w:pPr>
        <w:spacing w:line="480" w:lineRule="auto"/>
        <w:ind w:firstLine="720"/>
        <w:rPr>
          <w:rFonts w:ascii="Times New Roman" w:hAnsi="Times New Roman" w:cs="Times New Roman"/>
          <w:sz w:val="24"/>
          <w:szCs w:val="24"/>
        </w:rPr>
      </w:pPr>
      <w:r w:rsidRPr="00630F29">
        <w:rPr>
          <w:rFonts w:ascii="Times New Roman" w:hAnsi="Times New Roman" w:cs="Times New Roman"/>
          <w:sz w:val="24"/>
          <w:szCs w:val="24"/>
        </w:rPr>
        <w:t xml:space="preserve">Another concurring fact was addressed to one lawyer referred to as the disappointing litigation conduct from the EEOC.  It included continued reliance on a professional whose testimony was critically damaged in multiple compliments which were previously an asset in the EEOC notwithstanding a record of careless work (Clarke, 2014). Another fact way that; the EEOC must always be cautious so that it does not abuse power confirmed to it by Congress in its important resources, authorities, and discretion as well. </w:t>
      </w:r>
    </w:p>
    <w:p w:rsidR="00AC3080" w:rsidRPr="00630F29" w:rsidRDefault="00AC3080" w:rsidP="00630F29">
      <w:pPr>
        <w:spacing w:line="480" w:lineRule="auto"/>
        <w:ind w:firstLine="720"/>
        <w:rPr>
          <w:rFonts w:ascii="Times New Roman" w:hAnsi="Times New Roman" w:cs="Times New Roman"/>
          <w:sz w:val="24"/>
          <w:szCs w:val="24"/>
        </w:rPr>
      </w:pPr>
      <w:r w:rsidRPr="00630F29">
        <w:rPr>
          <w:rFonts w:ascii="Times New Roman" w:hAnsi="Times New Roman" w:cs="Times New Roman"/>
          <w:sz w:val="24"/>
          <w:szCs w:val="24"/>
        </w:rPr>
        <w:t xml:space="preserve">Although the Fourth Circuits opinions in EEOC v. Freeman provides some comfort to employers. The most important part is that this is a constantly developing area in law thus employer dependence on historic criminal records in the recruitment process. This will present continuous risk, more so for employees who have high attrition for hourly workers. Freeman as a regular part of its hiring process, it conducted criminal upbringing checks on all applicants who were given a position and performed credit background checks on aspirants who were given </w:t>
      </w:r>
      <w:r w:rsidRPr="00630F29">
        <w:rPr>
          <w:rFonts w:ascii="Times New Roman" w:hAnsi="Times New Roman" w:cs="Times New Roman"/>
          <w:sz w:val="24"/>
          <w:szCs w:val="24"/>
        </w:rPr>
        <w:lastRenderedPageBreak/>
        <w:t>financially sensitive positions. They had limited access to negative information which could disqualify the applicants.  The EEOC supposed that Freeman’s usage of background checks was discriminatory.</w:t>
      </w:r>
    </w:p>
    <w:p w:rsidR="00AC3080" w:rsidRPr="00630F29" w:rsidRDefault="00AC3080" w:rsidP="00630F29">
      <w:pPr>
        <w:spacing w:line="480" w:lineRule="auto"/>
        <w:ind w:firstLine="720"/>
        <w:rPr>
          <w:rFonts w:ascii="Times New Roman" w:hAnsi="Times New Roman" w:cs="Times New Roman"/>
          <w:sz w:val="24"/>
          <w:szCs w:val="24"/>
        </w:rPr>
      </w:pPr>
      <w:r w:rsidRPr="00630F29">
        <w:rPr>
          <w:rFonts w:ascii="Times New Roman" w:hAnsi="Times New Roman" w:cs="Times New Roman"/>
          <w:sz w:val="24"/>
          <w:szCs w:val="24"/>
        </w:rPr>
        <w:t>In the resolution, judges agreed to reiterate the majority’s concern and stress that the EEOC’s work of helping the public interest was jeopardized in murphy’s missteps. Again, EEOC owes the role to the employees and duty to the public to investigate charges and conciliate in good faith. Enforcement actions should be avoided after realizing that an action has no benefits to the organization.</w:t>
      </w:r>
    </w:p>
    <w:p w:rsidR="00AC3080" w:rsidRPr="00630F29" w:rsidRDefault="00AC3080" w:rsidP="00630F29">
      <w:pPr>
        <w:spacing w:line="480" w:lineRule="auto"/>
        <w:jc w:val="center"/>
        <w:rPr>
          <w:rFonts w:ascii="Times New Roman" w:hAnsi="Times New Roman" w:cs="Times New Roman"/>
          <w:b/>
          <w:sz w:val="24"/>
          <w:szCs w:val="24"/>
        </w:rPr>
      </w:pPr>
      <w:r w:rsidRPr="00630F29">
        <w:rPr>
          <w:rFonts w:ascii="Times New Roman" w:hAnsi="Times New Roman" w:cs="Times New Roman"/>
          <w:b/>
          <w:sz w:val="24"/>
          <w:szCs w:val="24"/>
        </w:rPr>
        <w:t>Question 4.</w:t>
      </w:r>
    </w:p>
    <w:p w:rsidR="00630F29" w:rsidRPr="00630F29" w:rsidRDefault="00AC3080" w:rsidP="00630F29">
      <w:pPr>
        <w:spacing w:line="480" w:lineRule="auto"/>
        <w:ind w:firstLine="720"/>
        <w:rPr>
          <w:rFonts w:ascii="Times New Roman" w:hAnsi="Times New Roman" w:cs="Times New Roman"/>
          <w:sz w:val="24"/>
          <w:szCs w:val="24"/>
        </w:rPr>
      </w:pPr>
      <w:r w:rsidRPr="00630F29">
        <w:rPr>
          <w:rFonts w:ascii="Times New Roman" w:hAnsi="Times New Roman" w:cs="Times New Roman"/>
          <w:sz w:val="24"/>
          <w:szCs w:val="24"/>
        </w:rPr>
        <w:t xml:space="preserve">The Fair Labor Standards Acts provides the final rule on the white color which has raised up challenges that are continually influencing both workers and the staff members. According to FLSA, employees are entitled to stay in compliance with the state’s Department Of Labor requirements (Perez, 2015). The state’s Department Of Labor has contained the least salary-based tests and the job duty test to fall within the white color exemptions. The minimum basic salary has been increased from $155.00 to $455.00 per week. The white color exemptions from low wage and overtime under FLSA include the professional exemption, executive exemption, as well as administrative exemption among others which are used to determine whether the employee is exempt. To qualify for the white color exception, an employee must meet some specific tests including their job responsibilities comply with the department’s regulations (Leader, 2016). As a result of new regulations, </w:t>
      </w:r>
      <w:r w:rsidR="00D43078" w:rsidRPr="00630F29">
        <w:rPr>
          <w:rFonts w:ascii="Times New Roman" w:hAnsi="Times New Roman" w:cs="Times New Roman"/>
          <w:sz w:val="24"/>
          <w:szCs w:val="24"/>
        </w:rPr>
        <w:t>workers in the country seem</w:t>
      </w:r>
      <w:r w:rsidRPr="00630F29">
        <w:rPr>
          <w:rFonts w:ascii="Times New Roman" w:hAnsi="Times New Roman" w:cs="Times New Roman"/>
          <w:sz w:val="24"/>
          <w:szCs w:val="24"/>
        </w:rPr>
        <w:t xml:space="preserve"> to be motivated by their work because they have it in mind that their work will equal their payment. Employees have also; been in the forefront to enhance effective util</w:t>
      </w:r>
      <w:r w:rsidR="00630F29" w:rsidRPr="00630F29">
        <w:rPr>
          <w:rFonts w:ascii="Times New Roman" w:hAnsi="Times New Roman" w:cs="Times New Roman"/>
          <w:sz w:val="24"/>
          <w:szCs w:val="24"/>
        </w:rPr>
        <w:t xml:space="preserve">ization of their labors force. </w:t>
      </w:r>
    </w:p>
    <w:p w:rsidR="007474A1" w:rsidRPr="00630F29" w:rsidRDefault="007474A1" w:rsidP="00630F29">
      <w:pPr>
        <w:spacing w:line="480" w:lineRule="auto"/>
        <w:jc w:val="center"/>
        <w:rPr>
          <w:rFonts w:ascii="Times New Roman" w:hAnsi="Times New Roman" w:cs="Times New Roman"/>
          <w:sz w:val="24"/>
          <w:szCs w:val="24"/>
        </w:rPr>
      </w:pPr>
      <w:r w:rsidRPr="00630F29">
        <w:rPr>
          <w:rFonts w:ascii="Times New Roman" w:hAnsi="Times New Roman" w:cs="Times New Roman"/>
          <w:sz w:val="24"/>
          <w:szCs w:val="24"/>
        </w:rPr>
        <w:lastRenderedPageBreak/>
        <w:t>References.</w:t>
      </w:r>
    </w:p>
    <w:p w:rsidR="00630F29" w:rsidRPr="00630F29" w:rsidRDefault="00630F29" w:rsidP="00D43078">
      <w:pPr>
        <w:spacing w:line="480" w:lineRule="auto"/>
        <w:ind w:left="720" w:hanging="720"/>
        <w:rPr>
          <w:rFonts w:ascii="Times New Roman" w:hAnsi="Times New Roman" w:cs="Times New Roman"/>
          <w:color w:val="222222"/>
          <w:sz w:val="24"/>
          <w:szCs w:val="24"/>
          <w:shd w:val="clear" w:color="auto" w:fill="FFFFFF"/>
        </w:rPr>
      </w:pPr>
      <w:r w:rsidRPr="00630F29">
        <w:rPr>
          <w:rFonts w:ascii="Times New Roman" w:hAnsi="Times New Roman" w:cs="Times New Roman"/>
          <w:color w:val="222222"/>
          <w:sz w:val="24"/>
          <w:szCs w:val="24"/>
          <w:shd w:val="clear" w:color="auto" w:fill="FFFFFF"/>
        </w:rPr>
        <w:t>Clarke, B. S. (2014). Clash of Old and New Fourth Circuit Ideologies: Boyer-Liberto v. Fontainebleau Corp. and the Moderation of the Fourth Circuit. </w:t>
      </w:r>
      <w:r w:rsidRPr="00630F29">
        <w:rPr>
          <w:rFonts w:ascii="Times New Roman" w:hAnsi="Times New Roman" w:cs="Times New Roman"/>
          <w:i/>
          <w:iCs/>
          <w:color w:val="222222"/>
          <w:sz w:val="24"/>
          <w:szCs w:val="24"/>
          <w:shd w:val="clear" w:color="auto" w:fill="FFFFFF"/>
        </w:rPr>
        <w:t>SCL Rev.</w:t>
      </w:r>
      <w:r w:rsidRPr="00630F29">
        <w:rPr>
          <w:rFonts w:ascii="Times New Roman" w:hAnsi="Times New Roman" w:cs="Times New Roman"/>
          <w:color w:val="222222"/>
          <w:sz w:val="24"/>
          <w:szCs w:val="24"/>
          <w:shd w:val="clear" w:color="auto" w:fill="FFFFFF"/>
        </w:rPr>
        <w:t>, </w:t>
      </w:r>
      <w:r w:rsidRPr="00630F29">
        <w:rPr>
          <w:rFonts w:ascii="Times New Roman" w:hAnsi="Times New Roman" w:cs="Times New Roman"/>
          <w:i/>
          <w:iCs/>
          <w:color w:val="222222"/>
          <w:sz w:val="24"/>
          <w:szCs w:val="24"/>
          <w:shd w:val="clear" w:color="auto" w:fill="FFFFFF"/>
        </w:rPr>
        <w:t>66</w:t>
      </w:r>
      <w:r w:rsidRPr="00630F29">
        <w:rPr>
          <w:rFonts w:ascii="Times New Roman" w:hAnsi="Times New Roman" w:cs="Times New Roman"/>
          <w:color w:val="222222"/>
          <w:sz w:val="24"/>
          <w:szCs w:val="24"/>
          <w:shd w:val="clear" w:color="auto" w:fill="FFFFFF"/>
        </w:rPr>
        <w:t>, 927.</w:t>
      </w:r>
    </w:p>
    <w:p w:rsidR="00630F29" w:rsidRPr="00630F29" w:rsidRDefault="00630F29" w:rsidP="00D43078">
      <w:pPr>
        <w:spacing w:line="480" w:lineRule="auto"/>
        <w:ind w:left="720" w:hanging="720"/>
        <w:rPr>
          <w:rFonts w:ascii="Times New Roman" w:hAnsi="Times New Roman" w:cs="Times New Roman"/>
          <w:color w:val="222222"/>
          <w:sz w:val="24"/>
          <w:szCs w:val="24"/>
          <w:shd w:val="clear" w:color="auto" w:fill="FFFFFF"/>
        </w:rPr>
      </w:pPr>
      <w:r w:rsidRPr="00630F29">
        <w:rPr>
          <w:rFonts w:ascii="Times New Roman" w:hAnsi="Times New Roman" w:cs="Times New Roman"/>
          <w:color w:val="222222"/>
          <w:sz w:val="24"/>
          <w:szCs w:val="24"/>
          <w:shd w:val="clear" w:color="auto" w:fill="FFFFFF"/>
        </w:rPr>
        <w:t>Greene, S. S. (2015). Race, class, and access to civil justice. </w:t>
      </w:r>
      <w:r w:rsidRPr="00630F29">
        <w:rPr>
          <w:rFonts w:ascii="Times New Roman" w:hAnsi="Times New Roman" w:cs="Times New Roman"/>
          <w:i/>
          <w:iCs/>
          <w:color w:val="222222"/>
          <w:sz w:val="24"/>
          <w:szCs w:val="24"/>
          <w:shd w:val="clear" w:color="auto" w:fill="FFFFFF"/>
        </w:rPr>
        <w:t>Browser Download This Paper</w:t>
      </w:r>
      <w:r w:rsidRPr="00630F29">
        <w:rPr>
          <w:rFonts w:ascii="Times New Roman" w:hAnsi="Times New Roman" w:cs="Times New Roman"/>
          <w:color w:val="222222"/>
          <w:sz w:val="24"/>
          <w:szCs w:val="24"/>
          <w:shd w:val="clear" w:color="auto" w:fill="FFFFFF"/>
        </w:rPr>
        <w:t>.</w:t>
      </w:r>
    </w:p>
    <w:p w:rsidR="00630F29" w:rsidRPr="00630F29" w:rsidRDefault="00630F29" w:rsidP="00D43078">
      <w:pPr>
        <w:spacing w:line="480" w:lineRule="auto"/>
        <w:ind w:left="720" w:hanging="720"/>
        <w:rPr>
          <w:rFonts w:ascii="Times New Roman" w:hAnsi="Times New Roman" w:cs="Times New Roman"/>
          <w:sz w:val="24"/>
          <w:szCs w:val="24"/>
        </w:rPr>
      </w:pPr>
      <w:r w:rsidRPr="00630F29">
        <w:rPr>
          <w:rFonts w:ascii="Times New Roman" w:hAnsi="Times New Roman" w:cs="Times New Roman"/>
          <w:color w:val="222222"/>
          <w:sz w:val="24"/>
          <w:szCs w:val="24"/>
          <w:shd w:val="clear" w:color="auto" w:fill="FFFFFF"/>
        </w:rPr>
        <w:t>Leader, L. E. (2016). The Equal Pay Act of 1963. </w:t>
      </w:r>
      <w:r w:rsidRPr="00630F29">
        <w:rPr>
          <w:rFonts w:ascii="Times New Roman" w:hAnsi="Times New Roman" w:cs="Times New Roman"/>
          <w:i/>
          <w:iCs/>
          <w:color w:val="222222"/>
          <w:sz w:val="24"/>
          <w:szCs w:val="24"/>
          <w:shd w:val="clear" w:color="auto" w:fill="FFFFFF"/>
        </w:rPr>
        <w:t>Wages &amp; Hours: Law and Practice</w:t>
      </w:r>
      <w:r w:rsidRPr="00630F29">
        <w:rPr>
          <w:rFonts w:ascii="Times New Roman" w:hAnsi="Times New Roman" w:cs="Times New Roman"/>
          <w:color w:val="222222"/>
          <w:sz w:val="24"/>
          <w:szCs w:val="24"/>
          <w:shd w:val="clear" w:color="auto" w:fill="FFFFFF"/>
        </w:rPr>
        <w:t>, </w:t>
      </w:r>
      <w:r w:rsidRPr="00630F29">
        <w:rPr>
          <w:rFonts w:ascii="Times New Roman" w:hAnsi="Times New Roman" w:cs="Times New Roman"/>
          <w:i/>
          <w:iCs/>
          <w:color w:val="222222"/>
          <w:sz w:val="24"/>
          <w:szCs w:val="24"/>
          <w:shd w:val="clear" w:color="auto" w:fill="FFFFFF"/>
        </w:rPr>
        <w:t>1</w:t>
      </w:r>
      <w:r w:rsidRPr="00630F29">
        <w:rPr>
          <w:rFonts w:ascii="Times New Roman" w:hAnsi="Times New Roman" w:cs="Times New Roman"/>
          <w:color w:val="222222"/>
          <w:sz w:val="24"/>
          <w:szCs w:val="24"/>
          <w:shd w:val="clear" w:color="auto" w:fill="FFFFFF"/>
        </w:rPr>
        <w:t>.</w:t>
      </w:r>
    </w:p>
    <w:p w:rsidR="00630F29" w:rsidRPr="00630F29" w:rsidRDefault="00630F29" w:rsidP="00D43078">
      <w:pPr>
        <w:spacing w:line="480" w:lineRule="auto"/>
        <w:ind w:left="720" w:hanging="720"/>
        <w:rPr>
          <w:rFonts w:ascii="Times New Roman" w:hAnsi="Times New Roman" w:cs="Times New Roman"/>
          <w:color w:val="222222"/>
          <w:sz w:val="24"/>
          <w:szCs w:val="24"/>
          <w:shd w:val="clear" w:color="auto" w:fill="FFFFFF"/>
        </w:rPr>
      </w:pPr>
      <w:r w:rsidRPr="00630F29">
        <w:rPr>
          <w:rFonts w:ascii="Times New Roman" w:hAnsi="Times New Roman" w:cs="Times New Roman"/>
          <w:color w:val="222222"/>
          <w:sz w:val="24"/>
          <w:szCs w:val="24"/>
          <w:shd w:val="clear" w:color="auto" w:fill="FFFFFF"/>
        </w:rPr>
        <w:t>Perez, T. E. (2015). The Fair Labor Standards Act: A Living Document. </w:t>
      </w:r>
      <w:r w:rsidRPr="00630F29">
        <w:rPr>
          <w:rFonts w:ascii="Times New Roman" w:hAnsi="Times New Roman" w:cs="Times New Roman"/>
          <w:i/>
          <w:iCs/>
          <w:color w:val="222222"/>
          <w:sz w:val="24"/>
          <w:szCs w:val="24"/>
          <w:shd w:val="clear" w:color="auto" w:fill="FFFFFF"/>
        </w:rPr>
        <w:t>Industrial Relations: A Journal of Economy and Society</w:t>
      </w:r>
      <w:r w:rsidRPr="00630F29">
        <w:rPr>
          <w:rFonts w:ascii="Times New Roman" w:hAnsi="Times New Roman" w:cs="Times New Roman"/>
          <w:color w:val="222222"/>
          <w:sz w:val="24"/>
          <w:szCs w:val="24"/>
          <w:shd w:val="clear" w:color="auto" w:fill="FFFFFF"/>
        </w:rPr>
        <w:t>, </w:t>
      </w:r>
      <w:r w:rsidRPr="00630F29">
        <w:rPr>
          <w:rFonts w:ascii="Times New Roman" w:hAnsi="Times New Roman" w:cs="Times New Roman"/>
          <w:i/>
          <w:iCs/>
          <w:color w:val="222222"/>
          <w:sz w:val="24"/>
          <w:szCs w:val="24"/>
          <w:shd w:val="clear" w:color="auto" w:fill="FFFFFF"/>
        </w:rPr>
        <w:t>54</w:t>
      </w:r>
      <w:r w:rsidRPr="00630F29">
        <w:rPr>
          <w:rFonts w:ascii="Times New Roman" w:hAnsi="Times New Roman" w:cs="Times New Roman"/>
          <w:color w:val="222222"/>
          <w:sz w:val="24"/>
          <w:szCs w:val="24"/>
          <w:shd w:val="clear" w:color="auto" w:fill="FFFFFF"/>
        </w:rPr>
        <w:t>(4), 529-532.</w:t>
      </w:r>
    </w:p>
    <w:p w:rsidR="00630F29" w:rsidRPr="00630F29" w:rsidRDefault="00630F29" w:rsidP="00D43078">
      <w:pPr>
        <w:spacing w:line="480" w:lineRule="auto"/>
        <w:ind w:left="720" w:hanging="720"/>
        <w:rPr>
          <w:rFonts w:ascii="Times New Roman" w:hAnsi="Times New Roman" w:cs="Times New Roman"/>
          <w:color w:val="222222"/>
          <w:sz w:val="24"/>
          <w:szCs w:val="24"/>
          <w:shd w:val="clear" w:color="auto" w:fill="FFFFFF"/>
        </w:rPr>
      </w:pPr>
      <w:r w:rsidRPr="00630F29">
        <w:rPr>
          <w:rFonts w:ascii="Times New Roman" w:hAnsi="Times New Roman" w:cs="Times New Roman"/>
          <w:color w:val="222222"/>
          <w:sz w:val="24"/>
          <w:szCs w:val="24"/>
          <w:shd w:val="clear" w:color="auto" w:fill="FFFFFF"/>
        </w:rPr>
        <w:t>Vinny, M. C. (2013). My Cousin Vinny. </w:t>
      </w:r>
      <w:r w:rsidRPr="00630F29">
        <w:rPr>
          <w:rFonts w:ascii="Times New Roman" w:hAnsi="Times New Roman" w:cs="Times New Roman"/>
          <w:i/>
          <w:iCs/>
          <w:color w:val="222222"/>
          <w:sz w:val="24"/>
          <w:szCs w:val="24"/>
          <w:shd w:val="clear" w:color="auto" w:fill="FFFFFF"/>
        </w:rPr>
        <w:t>Marisa Tomei 1 The Flamingo Kid 10 The Toxic Avenger 13 Playing for Keeps (film) 19 Oscar (1991 film) 24</w:t>
      </w:r>
      <w:r w:rsidRPr="00630F29">
        <w:rPr>
          <w:rFonts w:ascii="Times New Roman" w:hAnsi="Times New Roman" w:cs="Times New Roman"/>
          <w:color w:val="222222"/>
          <w:sz w:val="24"/>
          <w:szCs w:val="24"/>
          <w:shd w:val="clear" w:color="auto" w:fill="FFFFFF"/>
        </w:rPr>
        <w:t>, 31.</w:t>
      </w:r>
    </w:p>
    <w:p w:rsidR="00E75B18" w:rsidRPr="00630F29" w:rsidRDefault="00E75B18" w:rsidP="00630F29">
      <w:pPr>
        <w:spacing w:line="480" w:lineRule="auto"/>
        <w:rPr>
          <w:rFonts w:ascii="Times New Roman" w:hAnsi="Times New Roman" w:cs="Times New Roman"/>
          <w:sz w:val="24"/>
          <w:szCs w:val="24"/>
        </w:rPr>
      </w:pPr>
    </w:p>
    <w:p w:rsidR="001B4F3B" w:rsidRPr="00630F29" w:rsidRDefault="001B4F3B" w:rsidP="00630F29">
      <w:pPr>
        <w:spacing w:line="480" w:lineRule="auto"/>
        <w:rPr>
          <w:rFonts w:ascii="Times New Roman" w:hAnsi="Times New Roman" w:cs="Times New Roman"/>
          <w:sz w:val="24"/>
          <w:szCs w:val="24"/>
        </w:rPr>
      </w:pPr>
    </w:p>
    <w:p w:rsidR="002B0B4F" w:rsidRPr="00630F29" w:rsidRDefault="002B0B4F" w:rsidP="00630F29">
      <w:pPr>
        <w:spacing w:line="480" w:lineRule="auto"/>
        <w:rPr>
          <w:rFonts w:ascii="Times New Roman" w:hAnsi="Times New Roman" w:cs="Times New Roman"/>
          <w:sz w:val="24"/>
          <w:szCs w:val="24"/>
        </w:rPr>
      </w:pPr>
    </w:p>
    <w:p w:rsidR="002B0B4F" w:rsidRPr="00630F29" w:rsidRDefault="002B0B4F" w:rsidP="00630F29">
      <w:pPr>
        <w:spacing w:line="480" w:lineRule="auto"/>
        <w:rPr>
          <w:rFonts w:ascii="Times New Roman" w:hAnsi="Times New Roman" w:cs="Times New Roman"/>
          <w:sz w:val="24"/>
          <w:szCs w:val="24"/>
        </w:rPr>
      </w:pPr>
      <w:bookmarkStart w:id="0" w:name="_GoBack"/>
      <w:bookmarkEnd w:id="0"/>
    </w:p>
    <w:sectPr w:rsidR="002B0B4F" w:rsidRPr="00630F29" w:rsidSect="00630F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2E6F" w:rsidRDefault="000C2E6F" w:rsidP="00630F29">
      <w:pPr>
        <w:spacing w:after="0" w:line="240" w:lineRule="auto"/>
      </w:pPr>
      <w:r>
        <w:separator/>
      </w:r>
    </w:p>
  </w:endnote>
  <w:endnote w:type="continuationSeparator" w:id="1">
    <w:p w:rsidR="000C2E6F" w:rsidRDefault="000C2E6F" w:rsidP="00630F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2E6F" w:rsidRDefault="000C2E6F" w:rsidP="00630F29">
      <w:pPr>
        <w:spacing w:after="0" w:line="240" w:lineRule="auto"/>
      </w:pPr>
      <w:r>
        <w:separator/>
      </w:r>
    </w:p>
  </w:footnote>
  <w:footnote w:type="continuationSeparator" w:id="1">
    <w:p w:rsidR="000C2E6F" w:rsidRDefault="000C2E6F" w:rsidP="00630F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29" w:rsidRPr="00630F29" w:rsidRDefault="00630F29">
    <w:pPr>
      <w:pStyle w:val="Header"/>
      <w:rPr>
        <w:rFonts w:ascii="Times New Roman" w:hAnsi="Times New Roman" w:cs="Times New Roman"/>
        <w:sz w:val="24"/>
        <w:szCs w:val="24"/>
      </w:rPr>
    </w:pPr>
    <w:r w:rsidRPr="00630F29">
      <w:rPr>
        <w:rFonts w:ascii="Times New Roman" w:hAnsi="Times New Roman" w:cs="Times New Roman"/>
        <w:sz w:val="24"/>
        <w:szCs w:val="24"/>
      </w:rPr>
      <w:t xml:space="preserve">CIVIL AND CRIMINAL LAW </w:t>
    </w:r>
    <w:r w:rsidRPr="00630F29">
      <w:rPr>
        <w:rFonts w:ascii="Times New Roman" w:hAnsi="Times New Roman" w:cs="Times New Roman"/>
        <w:sz w:val="24"/>
        <w:szCs w:val="24"/>
      </w:rPr>
      <w:tab/>
    </w:r>
    <w:r w:rsidRPr="00630F29">
      <w:rPr>
        <w:rFonts w:ascii="Times New Roman" w:hAnsi="Times New Roman" w:cs="Times New Roman"/>
        <w:sz w:val="24"/>
        <w:szCs w:val="24"/>
      </w:rPr>
      <w:tab/>
    </w:r>
    <w:sdt>
      <w:sdtPr>
        <w:rPr>
          <w:rFonts w:ascii="Times New Roman" w:hAnsi="Times New Roman" w:cs="Times New Roman"/>
          <w:sz w:val="24"/>
          <w:szCs w:val="24"/>
        </w:rPr>
        <w:id w:val="-1466033464"/>
        <w:docPartObj>
          <w:docPartGallery w:val="Page Numbers (Top of Page)"/>
          <w:docPartUnique/>
        </w:docPartObj>
      </w:sdtPr>
      <w:sdtEndPr>
        <w:rPr>
          <w:noProof/>
        </w:rPr>
      </w:sdtEndPr>
      <w:sdtContent>
        <w:r w:rsidR="00E2115C" w:rsidRPr="00630F29">
          <w:rPr>
            <w:rFonts w:ascii="Times New Roman" w:hAnsi="Times New Roman" w:cs="Times New Roman"/>
            <w:sz w:val="24"/>
            <w:szCs w:val="24"/>
          </w:rPr>
          <w:fldChar w:fldCharType="begin"/>
        </w:r>
        <w:r w:rsidRPr="00630F29">
          <w:rPr>
            <w:rFonts w:ascii="Times New Roman" w:hAnsi="Times New Roman" w:cs="Times New Roman"/>
            <w:sz w:val="24"/>
            <w:szCs w:val="24"/>
          </w:rPr>
          <w:instrText xml:space="preserve"> PAGE   \* MERGEFORMAT </w:instrText>
        </w:r>
        <w:r w:rsidR="00E2115C" w:rsidRPr="00630F29">
          <w:rPr>
            <w:rFonts w:ascii="Times New Roman" w:hAnsi="Times New Roman" w:cs="Times New Roman"/>
            <w:sz w:val="24"/>
            <w:szCs w:val="24"/>
          </w:rPr>
          <w:fldChar w:fldCharType="separate"/>
        </w:r>
        <w:r w:rsidR="00D43078">
          <w:rPr>
            <w:rFonts w:ascii="Times New Roman" w:hAnsi="Times New Roman" w:cs="Times New Roman"/>
            <w:noProof/>
            <w:sz w:val="24"/>
            <w:szCs w:val="24"/>
          </w:rPr>
          <w:t>2</w:t>
        </w:r>
        <w:r w:rsidR="00E2115C" w:rsidRPr="00630F29">
          <w:rPr>
            <w:rFonts w:ascii="Times New Roman" w:hAnsi="Times New Roman" w:cs="Times New Roman"/>
            <w:noProof/>
            <w:sz w:val="24"/>
            <w:szCs w:val="24"/>
          </w:rPr>
          <w:fldChar w:fldCharType="end"/>
        </w:r>
      </w:sdtContent>
    </w:sdt>
  </w:p>
  <w:p w:rsidR="00630F29" w:rsidRPr="00630F29" w:rsidRDefault="00630F2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29" w:rsidRPr="00630F29" w:rsidRDefault="00630F29">
    <w:pPr>
      <w:pStyle w:val="Header"/>
      <w:rPr>
        <w:rFonts w:ascii="Times New Roman" w:hAnsi="Times New Roman" w:cs="Times New Roman"/>
        <w:sz w:val="24"/>
        <w:szCs w:val="24"/>
      </w:rPr>
    </w:pPr>
    <w:r w:rsidRPr="00630F29">
      <w:rPr>
        <w:rFonts w:ascii="Times New Roman" w:hAnsi="Times New Roman" w:cs="Times New Roman"/>
        <w:sz w:val="24"/>
        <w:szCs w:val="24"/>
      </w:rPr>
      <w:t>Running Head: CIVIL AND CRIMINAL LAW</w:t>
    </w:r>
    <w:r w:rsidRPr="00630F29">
      <w:rPr>
        <w:rFonts w:ascii="Times New Roman" w:hAnsi="Times New Roman" w:cs="Times New Roman"/>
        <w:sz w:val="24"/>
        <w:szCs w:val="24"/>
      </w:rPr>
      <w:tab/>
    </w:r>
    <w:r w:rsidRPr="00630F29">
      <w:rPr>
        <w:rFonts w:ascii="Times New Roman" w:hAnsi="Times New Roman" w:cs="Times New Roman"/>
        <w:sz w:val="24"/>
        <w:szCs w:val="24"/>
      </w:rPr>
      <w:tab/>
    </w:r>
    <w:sdt>
      <w:sdtPr>
        <w:rPr>
          <w:rFonts w:ascii="Times New Roman" w:hAnsi="Times New Roman" w:cs="Times New Roman"/>
          <w:sz w:val="24"/>
          <w:szCs w:val="24"/>
        </w:rPr>
        <w:id w:val="-1074265157"/>
        <w:docPartObj>
          <w:docPartGallery w:val="Page Numbers (Top of Page)"/>
          <w:docPartUnique/>
        </w:docPartObj>
      </w:sdtPr>
      <w:sdtEndPr>
        <w:rPr>
          <w:noProof/>
        </w:rPr>
      </w:sdtEndPr>
      <w:sdtContent>
        <w:r w:rsidR="00E2115C" w:rsidRPr="00630F29">
          <w:rPr>
            <w:rFonts w:ascii="Times New Roman" w:hAnsi="Times New Roman" w:cs="Times New Roman"/>
            <w:sz w:val="24"/>
            <w:szCs w:val="24"/>
          </w:rPr>
          <w:fldChar w:fldCharType="begin"/>
        </w:r>
        <w:r w:rsidRPr="00630F29">
          <w:rPr>
            <w:rFonts w:ascii="Times New Roman" w:hAnsi="Times New Roman" w:cs="Times New Roman"/>
            <w:sz w:val="24"/>
            <w:szCs w:val="24"/>
          </w:rPr>
          <w:instrText xml:space="preserve"> PAGE   \* MERGEFORMAT </w:instrText>
        </w:r>
        <w:r w:rsidR="00E2115C" w:rsidRPr="00630F29">
          <w:rPr>
            <w:rFonts w:ascii="Times New Roman" w:hAnsi="Times New Roman" w:cs="Times New Roman"/>
            <w:sz w:val="24"/>
            <w:szCs w:val="24"/>
          </w:rPr>
          <w:fldChar w:fldCharType="separate"/>
        </w:r>
        <w:r w:rsidR="00D43078">
          <w:rPr>
            <w:rFonts w:ascii="Times New Roman" w:hAnsi="Times New Roman" w:cs="Times New Roman"/>
            <w:noProof/>
            <w:sz w:val="24"/>
            <w:szCs w:val="24"/>
          </w:rPr>
          <w:t>1</w:t>
        </w:r>
        <w:r w:rsidR="00E2115C" w:rsidRPr="00630F29">
          <w:rPr>
            <w:rFonts w:ascii="Times New Roman" w:hAnsi="Times New Roman" w:cs="Times New Roman"/>
            <w:noProof/>
            <w:sz w:val="24"/>
            <w:szCs w:val="24"/>
          </w:rPr>
          <w:fldChar w:fldCharType="end"/>
        </w:r>
      </w:sdtContent>
    </w:sdt>
  </w:p>
  <w:p w:rsidR="00630F29" w:rsidRPr="00630F29" w:rsidRDefault="00630F2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7EC0"/>
    <w:rsid w:val="000A0095"/>
    <w:rsid w:val="000C2E6F"/>
    <w:rsid w:val="001B4F3B"/>
    <w:rsid w:val="002B0B4F"/>
    <w:rsid w:val="002F30A5"/>
    <w:rsid w:val="00304201"/>
    <w:rsid w:val="004952AE"/>
    <w:rsid w:val="00630F29"/>
    <w:rsid w:val="00641DE8"/>
    <w:rsid w:val="006F6104"/>
    <w:rsid w:val="007474A1"/>
    <w:rsid w:val="0076018D"/>
    <w:rsid w:val="00775FD7"/>
    <w:rsid w:val="0078023E"/>
    <w:rsid w:val="008068F9"/>
    <w:rsid w:val="00817EC0"/>
    <w:rsid w:val="008B1EFF"/>
    <w:rsid w:val="008B2883"/>
    <w:rsid w:val="008F316B"/>
    <w:rsid w:val="00922E48"/>
    <w:rsid w:val="00A8670B"/>
    <w:rsid w:val="00AA3B01"/>
    <w:rsid w:val="00AC3080"/>
    <w:rsid w:val="00B47C8E"/>
    <w:rsid w:val="00C30BFF"/>
    <w:rsid w:val="00C82091"/>
    <w:rsid w:val="00D142DD"/>
    <w:rsid w:val="00D43078"/>
    <w:rsid w:val="00D74E0C"/>
    <w:rsid w:val="00E2115C"/>
    <w:rsid w:val="00E75B18"/>
    <w:rsid w:val="00E767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1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F29"/>
  </w:style>
  <w:style w:type="paragraph" w:styleId="Footer">
    <w:name w:val="footer"/>
    <w:basedOn w:val="Normal"/>
    <w:link w:val="FooterChar"/>
    <w:uiPriority w:val="99"/>
    <w:unhideWhenUsed/>
    <w:rsid w:val="00630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F2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2017-11-02T14:44:00Z</dcterms:created>
  <dcterms:modified xsi:type="dcterms:W3CDTF">2017-11-02T14:44:00Z</dcterms:modified>
</cp:coreProperties>
</file>